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78" w:rsidRDefault="009C0678" w:rsidP="009C067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C0678" w:rsidRDefault="009C0678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15"/>
          <w:b/>
          <w:bCs/>
          <w:i/>
          <w:color w:val="333333"/>
          <w:sz w:val="28"/>
          <w:szCs w:val="28"/>
          <w:shd w:val="clear" w:color="auto" w:fill="FFFFFF"/>
        </w:rPr>
      </w:pPr>
      <w:r w:rsidRPr="00B92637">
        <w:rPr>
          <w:rStyle w:val="rvts15"/>
          <w:b/>
          <w:bCs/>
          <w:i/>
          <w:color w:val="333333"/>
          <w:sz w:val="28"/>
          <w:szCs w:val="28"/>
          <w:shd w:val="clear" w:color="auto" w:fill="FFFFFF"/>
        </w:rPr>
        <w:t>Захист викривачів визначено розділом VIII Закону України «Про запобігання корупції» (далі – Закон)</w:t>
      </w:r>
      <w:r w:rsidR="00B92637" w:rsidRPr="00B92637">
        <w:rPr>
          <w:rStyle w:val="rvts15"/>
          <w:b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F41D01" w:rsidRPr="00B92637" w:rsidRDefault="00F41D01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333333"/>
          <w:sz w:val="28"/>
          <w:szCs w:val="28"/>
        </w:rPr>
      </w:pPr>
    </w:p>
    <w:p w:rsidR="007E3864" w:rsidRPr="0034639D" w:rsidRDefault="007E3864" w:rsidP="007E386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34639D">
        <w:rPr>
          <w:color w:val="333333"/>
          <w:sz w:val="26"/>
          <w:szCs w:val="26"/>
        </w:rPr>
        <w:t>Викривачі, їх близькі особи перебувають під захистом держави.</w:t>
      </w:r>
    </w:p>
    <w:p w:rsidR="00F41D01" w:rsidRPr="0034639D" w:rsidRDefault="00F41D01" w:rsidP="00F41D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34639D">
        <w:rPr>
          <w:color w:val="333333"/>
          <w:sz w:val="26"/>
          <w:szCs w:val="26"/>
        </w:rPr>
        <w:t>За наявності загрози життю, житлу, здоров’ю та майну викривачів, їх близьких осіб у зв’язку із здійсненим повідомленням про можливі факти корупційних або пов’язаних з корупцією правопорушень, інших порушень цього Закону правоохоронними органами до них можуть бути застосовані правові, організаційно-технічні та інші спрямовані на захист від протиправних посягань заходи, передбачені </w:t>
      </w:r>
      <w:hyperlink r:id="rId5" w:tgtFrame="_blank" w:history="1">
        <w:r w:rsidRPr="0034639D">
          <w:rPr>
            <w:color w:val="333333"/>
            <w:sz w:val="26"/>
            <w:szCs w:val="26"/>
          </w:rPr>
          <w:t>Законом України</w:t>
        </w:r>
      </w:hyperlink>
      <w:r w:rsidRPr="0034639D">
        <w:rPr>
          <w:color w:val="333333"/>
          <w:sz w:val="26"/>
          <w:szCs w:val="26"/>
        </w:rPr>
        <w:t> «Про забезпечення безпеки осіб, які беруть участь у кримінальному судочинстві».</w:t>
      </w:r>
    </w:p>
    <w:p w:rsidR="00F41D01" w:rsidRPr="0034639D" w:rsidRDefault="00F41D01" w:rsidP="00F41D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0" w:name="n515"/>
      <w:bookmarkEnd w:id="0"/>
      <w:r w:rsidRPr="0034639D">
        <w:rPr>
          <w:color w:val="333333"/>
          <w:sz w:val="26"/>
          <w:szCs w:val="26"/>
        </w:rPr>
        <w:t>Для захисту прав та представництва своїх інтересів викривач може користуватися всіма видами правової допомоги, передбаченої </w:t>
      </w:r>
      <w:hyperlink r:id="rId6" w:tgtFrame="_blank" w:history="1">
        <w:r w:rsidRPr="0034639D">
          <w:rPr>
            <w:color w:val="333333"/>
            <w:sz w:val="26"/>
            <w:szCs w:val="26"/>
          </w:rPr>
          <w:t>Законом України</w:t>
        </w:r>
      </w:hyperlink>
      <w:r w:rsidRPr="0034639D">
        <w:rPr>
          <w:color w:val="333333"/>
          <w:sz w:val="26"/>
          <w:szCs w:val="26"/>
        </w:rPr>
        <w:t> «Про безоплатну правову допомогу», або залучити адвоката самостійно.</w:t>
      </w:r>
    </w:p>
    <w:p w:rsidR="00F41D01" w:rsidRPr="0034639D" w:rsidRDefault="00F41D01" w:rsidP="00F41D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34639D">
        <w:rPr>
          <w:color w:val="333333"/>
          <w:sz w:val="26"/>
          <w:szCs w:val="26"/>
        </w:rPr>
        <w:t>Національне агентство в разі звернення викривача:</w:t>
      </w:r>
    </w:p>
    <w:p w:rsidR="00F41D01" w:rsidRPr="0034639D" w:rsidRDefault="00F41D01" w:rsidP="00F41D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" w:name="n1475"/>
      <w:bookmarkEnd w:id="1"/>
      <w:r w:rsidRPr="0034639D">
        <w:rPr>
          <w:color w:val="333333"/>
          <w:sz w:val="26"/>
          <w:szCs w:val="26"/>
        </w:rPr>
        <w:t>1) здійснює представництво в суді інтересів викривача у випадках, якщо викривач неспроможний самостійно захистити свої порушені чи оспорювані права або реалізувати процесуальні повноваження, а представники або органи, яким законом надано право захищати права, свободи та інтереси викривача, не здійснюють або неналежним чином здійснюють його захист;</w:t>
      </w:r>
    </w:p>
    <w:p w:rsidR="00F41D01" w:rsidRPr="0034639D" w:rsidRDefault="00F41D01" w:rsidP="00F41D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2" w:name="n1476"/>
      <w:bookmarkEnd w:id="2"/>
      <w:r w:rsidRPr="0034639D">
        <w:rPr>
          <w:color w:val="333333"/>
          <w:sz w:val="26"/>
          <w:szCs w:val="26"/>
        </w:rPr>
        <w:t>2) має право бути присутнім на засіданнях судів усіх інстанцій, у тому числі на закритих судових засіданнях, за умови згоди викривача, в інтересах якого судовий розгляд оголошено закритим;</w:t>
      </w:r>
    </w:p>
    <w:p w:rsidR="00F41D01" w:rsidRPr="0034639D" w:rsidRDefault="00F41D01" w:rsidP="00F41D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3" w:name="n1477"/>
      <w:bookmarkEnd w:id="3"/>
      <w:r w:rsidRPr="0034639D">
        <w:rPr>
          <w:color w:val="333333"/>
          <w:sz w:val="26"/>
          <w:szCs w:val="26"/>
        </w:rPr>
        <w:t>3) має право звертатися до суду з позовом (заявою) про захист прав і свобод викривачів, брати участь у судовому розгляді справ, провадження в яких відкрито за його позовами (заявами, клопотаннями (поданнями);</w:t>
      </w:r>
    </w:p>
    <w:p w:rsidR="00F41D01" w:rsidRPr="0034639D" w:rsidRDefault="00F41D01" w:rsidP="00F41D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4" w:name="n1478"/>
      <w:bookmarkEnd w:id="4"/>
      <w:r w:rsidRPr="0034639D">
        <w:rPr>
          <w:color w:val="333333"/>
          <w:sz w:val="26"/>
          <w:szCs w:val="26"/>
        </w:rPr>
        <w:t>4) має право вступати у справи, провадження в яких відкрито за позовами (заявами, клопотаннями (поданнями) викривачів, на будь-якій стадії їх судового розгляду;</w:t>
      </w:r>
    </w:p>
    <w:p w:rsidR="00F41D01" w:rsidRPr="0034639D" w:rsidRDefault="00F41D01" w:rsidP="00F41D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5" w:name="n1479"/>
      <w:bookmarkEnd w:id="5"/>
      <w:r w:rsidRPr="0034639D">
        <w:rPr>
          <w:color w:val="333333"/>
          <w:sz w:val="26"/>
          <w:szCs w:val="26"/>
        </w:rPr>
        <w:t>5) має право ініціювати незалежно від участі Національного агентства у судовому провадженні перегляд судових рішень у порядку, встановленому законом.</w:t>
      </w:r>
    </w:p>
    <w:p w:rsidR="00F41D01" w:rsidRPr="0034639D" w:rsidRDefault="00F41D01" w:rsidP="007E386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</w:p>
    <w:p w:rsidR="00B92637" w:rsidRPr="0034639D" w:rsidRDefault="009C0678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Cs/>
          <w:color w:val="333333"/>
          <w:sz w:val="26"/>
          <w:szCs w:val="26"/>
          <w:shd w:val="clear" w:color="auto" w:fill="FFFFFF"/>
          <w:lang w:val="ru-RU"/>
        </w:rPr>
      </w:pPr>
      <w:r w:rsidRPr="0034639D">
        <w:rPr>
          <w:color w:val="333333"/>
          <w:sz w:val="26"/>
          <w:szCs w:val="26"/>
        </w:rPr>
        <w:t xml:space="preserve">Відповідно до </w:t>
      </w:r>
      <w:r w:rsidR="00B92637" w:rsidRPr="0034639D">
        <w:rPr>
          <w:color w:val="333333"/>
          <w:sz w:val="26"/>
          <w:szCs w:val="26"/>
        </w:rPr>
        <w:t xml:space="preserve">частини другої </w:t>
      </w:r>
      <w:r w:rsidRPr="0034639D">
        <w:rPr>
          <w:color w:val="333333"/>
          <w:sz w:val="26"/>
          <w:szCs w:val="26"/>
        </w:rPr>
        <w:t xml:space="preserve">статті </w:t>
      </w:r>
      <w:r w:rsidRPr="0034639D">
        <w:rPr>
          <w:rStyle w:val="rvts9"/>
          <w:bCs/>
          <w:color w:val="333333"/>
          <w:sz w:val="26"/>
          <w:szCs w:val="26"/>
          <w:shd w:val="clear" w:color="auto" w:fill="FFFFFF"/>
        </w:rPr>
        <w:t>53</w:t>
      </w:r>
      <w:r w:rsidRPr="0034639D">
        <w:rPr>
          <w:rStyle w:val="rvts9"/>
          <w:bCs/>
          <w:color w:val="333333"/>
          <w:sz w:val="26"/>
          <w:szCs w:val="26"/>
          <w:shd w:val="clear" w:color="auto" w:fill="FFFFFF"/>
          <w:vertAlign w:val="superscript"/>
        </w:rPr>
        <w:t>3</w:t>
      </w:r>
      <w:r w:rsidRPr="0034639D">
        <w:rPr>
          <w:rStyle w:val="rvts9"/>
          <w:bCs/>
          <w:color w:val="333333"/>
          <w:sz w:val="26"/>
          <w:szCs w:val="26"/>
          <w:shd w:val="clear" w:color="auto" w:fill="FFFFFF"/>
        </w:rPr>
        <w:t xml:space="preserve"> Закону </w:t>
      </w:r>
      <w:r w:rsidR="00B92637" w:rsidRPr="0034639D">
        <w:rPr>
          <w:rStyle w:val="rvts9"/>
          <w:bCs/>
          <w:color w:val="333333"/>
          <w:sz w:val="26"/>
          <w:szCs w:val="26"/>
          <w:shd w:val="clear" w:color="auto" w:fill="FFFFFF"/>
        </w:rPr>
        <w:t>викривач має право</w:t>
      </w:r>
      <w:r w:rsidR="00B92637" w:rsidRPr="0034639D">
        <w:rPr>
          <w:rStyle w:val="rvts9"/>
          <w:bCs/>
          <w:color w:val="333333"/>
          <w:sz w:val="26"/>
          <w:szCs w:val="26"/>
          <w:shd w:val="clear" w:color="auto" w:fill="FFFFFF"/>
          <w:lang w:val="ru-RU"/>
        </w:rPr>
        <w:t>: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34639D">
        <w:rPr>
          <w:color w:val="333333"/>
          <w:sz w:val="26"/>
          <w:szCs w:val="26"/>
        </w:rPr>
        <w:t>1) бути повідомленим про свої права та обов’язки, передбачені цим Законом;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6" w:name="n1519"/>
      <w:bookmarkEnd w:id="6"/>
      <w:r w:rsidRPr="0034639D">
        <w:rPr>
          <w:color w:val="333333"/>
          <w:sz w:val="26"/>
          <w:szCs w:val="26"/>
        </w:rPr>
        <w:t>2) подавати докази на підтвердження своєї заяви;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7" w:name="n1520"/>
      <w:bookmarkEnd w:id="7"/>
      <w:r w:rsidRPr="0034639D">
        <w:rPr>
          <w:color w:val="333333"/>
          <w:sz w:val="26"/>
          <w:szCs w:val="26"/>
        </w:rPr>
        <w:t>3) отримувати від уповноваженого органу, до якого він подав повідомлення, підтвердження його прийняття і реєстрації;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8" w:name="n1521"/>
      <w:bookmarkEnd w:id="8"/>
      <w:r w:rsidRPr="0034639D">
        <w:rPr>
          <w:color w:val="333333"/>
          <w:sz w:val="26"/>
          <w:szCs w:val="26"/>
        </w:rPr>
        <w:t>4) давати пояснення, свідчення або відмовитися їх давати;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9" w:name="n1522"/>
      <w:bookmarkEnd w:id="9"/>
      <w:r w:rsidRPr="0034639D">
        <w:rPr>
          <w:color w:val="333333"/>
          <w:sz w:val="26"/>
          <w:szCs w:val="26"/>
        </w:rPr>
        <w:t>5) на безоплатну правову допомогу у зв’язку із захистом прав викривача;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0" w:name="n1523"/>
      <w:bookmarkEnd w:id="10"/>
      <w:r w:rsidRPr="0034639D">
        <w:rPr>
          <w:color w:val="333333"/>
          <w:sz w:val="26"/>
          <w:szCs w:val="26"/>
        </w:rPr>
        <w:t>6) на конфіденційність;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1" w:name="n1524"/>
      <w:bookmarkEnd w:id="11"/>
      <w:r w:rsidRPr="0034639D">
        <w:rPr>
          <w:color w:val="333333"/>
          <w:sz w:val="26"/>
          <w:szCs w:val="26"/>
        </w:rPr>
        <w:t>7) повідомляти про можливі факти корупційних або пов’язаних з корупцією правопорушень, інших порушень цього Закону без зазначення відомостей про себе (анонімно);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2" w:name="n1525"/>
      <w:bookmarkEnd w:id="12"/>
      <w:r w:rsidRPr="0034639D">
        <w:rPr>
          <w:color w:val="333333"/>
          <w:sz w:val="26"/>
          <w:szCs w:val="26"/>
        </w:rPr>
        <w:t>8) у разі загрози життю і здоров’ю на забезпечення безпеки щодо себе та близьких осіб, майна та житла або на відмову від таких заходів;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3" w:name="n1526"/>
      <w:bookmarkEnd w:id="13"/>
      <w:r w:rsidRPr="0034639D">
        <w:rPr>
          <w:color w:val="333333"/>
          <w:sz w:val="26"/>
          <w:szCs w:val="26"/>
        </w:rPr>
        <w:t>9) 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4" w:name="n1527"/>
      <w:bookmarkEnd w:id="14"/>
      <w:r w:rsidRPr="0034639D">
        <w:rPr>
          <w:color w:val="333333"/>
          <w:sz w:val="26"/>
          <w:szCs w:val="26"/>
        </w:rPr>
        <w:lastRenderedPageBreak/>
        <w:t>10) на винагороду у визначених законом випадках;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5" w:name="n1528"/>
      <w:bookmarkEnd w:id="15"/>
      <w:r w:rsidRPr="0034639D">
        <w:rPr>
          <w:color w:val="333333"/>
          <w:sz w:val="26"/>
          <w:szCs w:val="26"/>
        </w:rPr>
        <w:t>11) на отримання психологічної допомоги;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6" w:name="n1529"/>
      <w:bookmarkEnd w:id="16"/>
      <w:r w:rsidRPr="0034639D">
        <w:rPr>
          <w:color w:val="333333"/>
          <w:sz w:val="26"/>
          <w:szCs w:val="26"/>
        </w:rPr>
        <w:t>12) на звільнення від юридичної відповідальності у визначених законом випадках;</w:t>
      </w:r>
    </w:p>
    <w:p w:rsidR="00B92637" w:rsidRPr="0034639D" w:rsidRDefault="00B92637" w:rsidP="00B9263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7" w:name="n1530"/>
      <w:bookmarkEnd w:id="17"/>
      <w:r w:rsidRPr="0034639D">
        <w:rPr>
          <w:color w:val="333333"/>
          <w:sz w:val="26"/>
          <w:szCs w:val="26"/>
        </w:rPr>
        <w:t>13) отримувати інформацію про стан та результати розгляду, перевірки та/або розслідування за фактом повідомлення ним інформації.</w:t>
      </w:r>
    </w:p>
    <w:p w:rsidR="009C0678" w:rsidRPr="0034639D" w:rsidRDefault="00B92637" w:rsidP="009C067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34639D">
        <w:rPr>
          <w:color w:val="333333"/>
          <w:sz w:val="26"/>
          <w:szCs w:val="26"/>
        </w:rPr>
        <w:t>Права та гарантії захисту викривачів поширюються на близьких осіб викривача.</w:t>
      </w:r>
    </w:p>
    <w:p w:rsidR="000C52B4" w:rsidRPr="000C52B4" w:rsidRDefault="000C52B4" w:rsidP="000C52B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8" w:name="n1516"/>
      <w:bookmarkEnd w:id="18"/>
      <w:r w:rsidRPr="000C52B4">
        <w:rPr>
          <w:color w:val="333333"/>
          <w:sz w:val="26"/>
          <w:szCs w:val="26"/>
        </w:rPr>
        <w:t>Право на винагороду має викривач, який повідомив про корупційний злочин, грошовий розмір предмета якого або завдані державі збитки від якого у п’ять тисяч і більше разів перевищують розмір прожиткового мінімуму для працездатних осіб, установленого законом на час вчинення злочину.</w:t>
      </w:r>
    </w:p>
    <w:p w:rsidR="000C52B4" w:rsidRPr="000C52B4" w:rsidRDefault="000C52B4" w:rsidP="000C52B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bookmarkStart w:id="19" w:name="n1550"/>
      <w:bookmarkEnd w:id="19"/>
      <w:r w:rsidRPr="000C52B4">
        <w:rPr>
          <w:color w:val="333333"/>
          <w:sz w:val="26"/>
          <w:szCs w:val="26"/>
        </w:rPr>
        <w:t xml:space="preserve">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</w:t>
      </w:r>
      <w:proofErr w:type="spellStart"/>
      <w:r w:rsidRPr="000C52B4">
        <w:rPr>
          <w:color w:val="333333"/>
          <w:sz w:val="26"/>
          <w:szCs w:val="26"/>
        </w:rPr>
        <w:t>вироку</w:t>
      </w:r>
      <w:proofErr w:type="spellEnd"/>
      <w:r w:rsidRPr="000C52B4">
        <w:rPr>
          <w:color w:val="333333"/>
          <w:sz w:val="26"/>
          <w:szCs w:val="26"/>
        </w:rPr>
        <w:t xml:space="preserve"> суду. Розмір винагороди не може перевищувати трьох тисяч мінімальних заробітних плат, установлених на час вчинення злочину.</w:t>
      </w:r>
    </w:p>
    <w:p w:rsidR="0034639D" w:rsidRDefault="0034639D" w:rsidP="009C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20" w:name="_GoBack"/>
      <w:bookmarkEnd w:id="20"/>
    </w:p>
    <w:p w:rsidR="009C0678" w:rsidRPr="00546620" w:rsidRDefault="009C0678" w:rsidP="009C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466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Пам’ятка щодо правового статусу</w:t>
      </w:r>
    </w:p>
    <w:p w:rsidR="009C0678" w:rsidRPr="00546620" w:rsidRDefault="009C0678" w:rsidP="009C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466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викривача, прав та гарантій його захисту</w:t>
      </w:r>
    </w:p>
    <w:p w:rsidR="009C0678" w:rsidRPr="00546620" w:rsidRDefault="009C0678" w:rsidP="009C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9C0678" w:rsidRPr="000C52B4" w:rsidTr="009E540C">
        <w:tc>
          <w:tcPr>
            <w:tcW w:w="949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C0678" w:rsidRPr="00F41D01" w:rsidRDefault="009C0678" w:rsidP="009E540C">
            <w:pPr>
              <w:spacing w:after="0" w:line="240" w:lineRule="auto"/>
              <w:ind w:left="-227"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F4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Викривач </w:t>
            </w:r>
            <w:r w:rsidRPr="00F41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– особа, яка повідомила про 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</w:t>
            </w:r>
            <w:r w:rsidRPr="00F41D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C0678" w:rsidRPr="00F41D01" w:rsidRDefault="00F41D01" w:rsidP="009C0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ВАЖЛИВО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викривач – це фізична особа (громадянин України, іноземець, особа без громадянства), яка має переконання, що інформація є достовірною;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 викривача має містити інформацію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перевірені (зокрема, це відомості про: обставини правопорушення, місце і час його вчинення, особу, яка його вчинила, тощо);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стала відома викривачу у зв’язку з його трудовою, професійною, господарською, громадською, науковою 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9C0678" w:rsidRPr="00F41D01" w:rsidRDefault="009C0678" w:rsidP="009C0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C0678" w:rsidRPr="00F41D01" w:rsidRDefault="009C0678" w:rsidP="009C067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Викривач має наступні права: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бути повідомленим про його права та обов’язки;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отримання інформації про стан та результати розгляду;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подавати докази, давати пояснення, свідчення або відмовитися їх давати;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безоплатну правову допомогу у зв’язку із захистом прав викривача;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відшкодування витрат у зв’язку із захистом прав викривачів, витрат на адвоката та судовий збір;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конфіденційність та анонімність;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забезпечення безпеки щодо себе та близьких осіб, майна та житла у разі загрози життю і здоров’ю або на відмову від таких заходів;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винагороду;</w:t>
      </w:r>
    </w:p>
    <w:p w:rsidR="009C0678" w:rsidRPr="00F41D01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отримання психологічної допомоги;</w:t>
      </w:r>
    </w:p>
    <w:p w:rsidR="009C0678" w:rsidRPr="00546620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41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звільнення від юридичної відповідальності у визначених випадках.</w:t>
      </w:r>
      <w:r w:rsidRPr="005466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 w:type="page"/>
      </w:r>
    </w:p>
    <w:p w:rsidR="009C0678" w:rsidRPr="00546620" w:rsidRDefault="009C0678" w:rsidP="009C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6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Викривач має наступні гарантії: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0678" w:rsidRPr="00546620" w:rsidTr="009E540C">
        <w:tc>
          <w:tcPr>
            <w:tcW w:w="4672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Захист трудових прав викривача</w:t>
            </w:r>
          </w:p>
        </w:tc>
        <w:tc>
          <w:tcPr>
            <w:tcW w:w="4673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Виплата заробітку за час вимушеного прогулу та грошових компенсацій за порушення його трудових прав</w:t>
            </w:r>
          </w:p>
        </w:tc>
      </w:tr>
      <w:tr w:rsidR="009C0678" w:rsidRPr="00546620" w:rsidTr="009E540C">
        <w:tc>
          <w:tcPr>
            <w:tcW w:w="4672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</w:t>
            </w:r>
          </w:p>
        </w:tc>
        <w:tc>
          <w:tcPr>
            <w:tcW w:w="4673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9C0678" w:rsidRPr="00546620" w:rsidRDefault="009C0678" w:rsidP="009C0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C0678" w:rsidRPr="00546620" w:rsidRDefault="009C0678" w:rsidP="009C067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6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Викривач може звернутися за захистом своїх прав до: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0678" w:rsidRPr="00546620" w:rsidTr="009E540C">
        <w:tc>
          <w:tcPr>
            <w:tcW w:w="4672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Відділу з питань запобігання та виявлення корупції</w:t>
            </w:r>
          </w:p>
        </w:tc>
        <w:tc>
          <w:tcPr>
            <w:tcW w:w="4673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забезпечення захисту від застосування негативних заходів впливу з боку керівника або роботодавця</w:t>
            </w:r>
          </w:p>
        </w:tc>
      </w:tr>
      <w:tr w:rsidR="009C0678" w:rsidRPr="000C52B4" w:rsidTr="009E540C">
        <w:tc>
          <w:tcPr>
            <w:tcW w:w="4672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Національного агентства з питань запобігання корупції</w:t>
            </w:r>
          </w:p>
        </w:tc>
        <w:tc>
          <w:tcPr>
            <w:tcW w:w="4673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</w:r>
          </w:p>
        </w:tc>
      </w:tr>
      <w:tr w:rsidR="009C0678" w:rsidRPr="00546620" w:rsidTr="009E540C">
        <w:tc>
          <w:tcPr>
            <w:tcW w:w="4672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Правоохоронних органів</w:t>
            </w:r>
          </w:p>
        </w:tc>
        <w:tc>
          <w:tcPr>
            <w:tcW w:w="4673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захисту життя, житла, здоров’я та майна</w:t>
            </w:r>
          </w:p>
        </w:tc>
      </w:tr>
      <w:tr w:rsidR="009C0678" w:rsidRPr="00546620" w:rsidTr="009E540C">
        <w:tc>
          <w:tcPr>
            <w:tcW w:w="4672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Центрів безоплатної правової допомоги</w:t>
            </w:r>
          </w:p>
        </w:tc>
        <w:tc>
          <w:tcPr>
            <w:tcW w:w="4673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отримання безоплатної вторинної правової допомоги</w:t>
            </w:r>
          </w:p>
        </w:tc>
      </w:tr>
      <w:tr w:rsidR="009C0678" w:rsidRPr="00546620" w:rsidTr="009E540C">
        <w:tc>
          <w:tcPr>
            <w:tcW w:w="4672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Суду</w:t>
            </w:r>
          </w:p>
        </w:tc>
        <w:tc>
          <w:tcPr>
            <w:tcW w:w="4673" w:type="dxa"/>
          </w:tcPr>
          <w:p w:rsidR="009C0678" w:rsidRPr="00546620" w:rsidRDefault="009C0678" w:rsidP="009E54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46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захисту своїх прав і свобод</w:t>
            </w:r>
          </w:p>
        </w:tc>
      </w:tr>
    </w:tbl>
    <w:p w:rsidR="009C0678" w:rsidRPr="00546620" w:rsidRDefault="009C0678" w:rsidP="009C0678">
      <w:pPr>
        <w:spacing w:after="0" w:line="340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E42E2" w:rsidRPr="009C0678" w:rsidRDefault="00FE42E2">
      <w:pPr>
        <w:rPr>
          <w:lang w:val="uk-UA"/>
        </w:rPr>
      </w:pPr>
    </w:p>
    <w:sectPr w:rsidR="00FE42E2" w:rsidRPr="009C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01C"/>
    <w:multiLevelType w:val="multilevel"/>
    <w:tmpl w:val="3438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E6"/>
    <w:rsid w:val="000C52B4"/>
    <w:rsid w:val="0034639D"/>
    <w:rsid w:val="005761E6"/>
    <w:rsid w:val="007E3864"/>
    <w:rsid w:val="009C0678"/>
    <w:rsid w:val="00B92637"/>
    <w:rsid w:val="00F41D01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FA0F"/>
  <w15:chartTrackingRefBased/>
  <w15:docId w15:val="{83397DE1-4C92-4EE0-8009-D28D408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6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C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9C0678"/>
  </w:style>
  <w:style w:type="character" w:customStyle="1" w:styleId="rvts9">
    <w:name w:val="rvts9"/>
    <w:basedOn w:val="a0"/>
    <w:rsid w:val="009C0678"/>
  </w:style>
  <w:style w:type="character" w:customStyle="1" w:styleId="rvts37">
    <w:name w:val="rvts37"/>
    <w:basedOn w:val="a0"/>
    <w:rsid w:val="009C0678"/>
  </w:style>
  <w:style w:type="character" w:styleId="a4">
    <w:name w:val="Hyperlink"/>
    <w:basedOn w:val="a0"/>
    <w:uiPriority w:val="99"/>
    <w:semiHidden/>
    <w:unhideWhenUsed/>
    <w:rsid w:val="00F41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460-17" TargetMode="External"/><Relationship Id="rId5" Type="http://schemas.openxmlformats.org/officeDocument/2006/relationships/hyperlink" Target="https://zakon.rada.gov.ua/laws/show/3782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4498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Кунц</dc:creator>
  <cp:keywords/>
  <dc:description/>
  <cp:lastModifiedBy>Віктор Кунц</cp:lastModifiedBy>
  <cp:revision>3</cp:revision>
  <dcterms:created xsi:type="dcterms:W3CDTF">2021-08-28T07:43:00Z</dcterms:created>
  <dcterms:modified xsi:type="dcterms:W3CDTF">2021-08-28T08:26:00Z</dcterms:modified>
</cp:coreProperties>
</file>